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DD" w:rsidRDefault="00D90BDD">
      <w:pPr>
        <w:spacing w:after="0"/>
      </w:pPr>
      <w:r>
        <w:rPr>
          <w:b/>
          <w:sz w:val="44"/>
          <w:u w:val="single" w:color="000000"/>
        </w:rPr>
        <w:t>Shineray T30</w:t>
      </w:r>
      <w:r>
        <w:rPr>
          <w:b/>
          <w:sz w:val="44"/>
        </w:rPr>
        <w:t xml:space="preserve"> </w:t>
      </w:r>
      <w:bookmarkStart w:id="0" w:name="_GoBack"/>
      <w:bookmarkEnd w:id="0"/>
    </w:p>
    <w:p w:rsidR="00D90BDD" w:rsidRDefault="00D90BDD">
      <w:pPr>
        <w:spacing w:after="139"/>
        <w:ind w:left="10" w:hanging="10"/>
      </w:pPr>
      <w:r>
        <w:rPr>
          <w:b/>
        </w:rPr>
        <w:t xml:space="preserve">Datos técnicos </w:t>
      </w:r>
    </w:p>
    <w:p w:rsidR="00D90BDD" w:rsidRDefault="00D90BDD">
      <w:pPr>
        <w:pStyle w:val="Heading1"/>
        <w:ind w:left="-5"/>
      </w:pPr>
      <w:r>
        <w:t>Motor</w:t>
      </w:r>
      <w:r>
        <w:rPr>
          <w:u w:val="none"/>
        </w:rPr>
        <w:t xml:space="preserve"> </w:t>
      </w:r>
    </w:p>
    <w:p w:rsidR="00D90BDD" w:rsidRDefault="00D90BDD">
      <w:pPr>
        <w:tabs>
          <w:tab w:val="right" w:pos="5509"/>
        </w:tabs>
        <w:spacing w:after="3"/>
      </w:pPr>
      <w:r>
        <w:rPr>
          <w:b/>
        </w:rPr>
        <w:t xml:space="preserve">Modelo </w:t>
      </w:r>
      <w:r>
        <w:rPr>
          <w:b/>
        </w:rPr>
        <w:tab/>
      </w:r>
      <w:r>
        <w:t xml:space="preserve">DLCG12 </w:t>
      </w:r>
    </w:p>
    <w:tbl>
      <w:tblPr>
        <w:tblW w:w="8495" w:type="dxa"/>
        <w:tblCellMar>
          <w:top w:w="44" w:type="dxa"/>
          <w:left w:w="0" w:type="dxa"/>
          <w:right w:w="115" w:type="dxa"/>
        </w:tblCellMar>
        <w:tblLook w:val="00A0"/>
      </w:tblPr>
      <w:tblGrid>
        <w:gridCol w:w="4608"/>
        <w:gridCol w:w="3887"/>
      </w:tblGrid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Norma de emisiones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Euro V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Tipo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Nafta, 4 Cilindros en línea, MFI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Cilindrada (L)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1.298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N.º de válvulas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16V (4 por cilindro)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70"/>
            </w:pPr>
            <w:r w:rsidRPr="009344E7">
              <w:rPr>
                <w:b/>
              </w:rPr>
              <w:t xml:space="preserve">Transmisión / N.º de velocidades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1"/>
            </w:pPr>
            <w:r>
              <w:t xml:space="preserve">Manual de 5 velocidades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Tracción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Trasera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Potencia (HP)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85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Máx. torque (N.m)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105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70"/>
            </w:pPr>
            <w:r w:rsidRPr="009344E7">
              <w:rPr>
                <w:b/>
              </w:rPr>
              <w:t xml:space="preserve">Tipo de combustible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1"/>
            </w:pPr>
            <w:r>
              <w:t xml:space="preserve">Nafta sin plomo 95 octanos (súper)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Relación de compresión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10:1 </w:t>
            </w:r>
          </w:p>
        </w:tc>
      </w:tr>
      <w:tr w:rsidR="00D90BDD" w:rsidTr="009344E7">
        <w:trPr>
          <w:trHeight w:val="40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Sistema electrónico de inyección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Visteon </w:t>
            </w:r>
          </w:p>
        </w:tc>
      </w:tr>
      <w:tr w:rsidR="00D90BDD" w:rsidTr="009344E7">
        <w:trPr>
          <w:trHeight w:val="4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Consumo a 50 km/h (L/100km)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7.2 </w:t>
            </w:r>
          </w:p>
        </w:tc>
      </w:tr>
      <w:tr w:rsidR="00D90BDD" w:rsidTr="009344E7">
        <w:trPr>
          <w:trHeight w:val="4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Velocidad máxima (km/h)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48"/>
            </w:pPr>
            <w:r>
              <w:t xml:space="preserve">105 </w:t>
            </w:r>
          </w:p>
        </w:tc>
      </w:tr>
      <w:tr w:rsidR="00D90BDD" w:rsidTr="009344E7">
        <w:trPr>
          <w:trHeight w:val="112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139" w:line="240" w:lineRule="auto"/>
            </w:pPr>
            <w:r>
              <w:t xml:space="preserve"> </w:t>
            </w:r>
          </w:p>
          <w:p w:rsidR="00D90BDD" w:rsidRDefault="00D90BDD" w:rsidP="009344E7">
            <w:pPr>
              <w:spacing w:after="0" w:line="240" w:lineRule="auto"/>
              <w:ind w:left="107" w:right="3027" w:hanging="107"/>
            </w:pPr>
            <w:r w:rsidRPr="009344E7">
              <w:rPr>
                <w:u w:val="single" w:color="000000"/>
              </w:rPr>
              <w:t>Chasis</w:t>
            </w:r>
            <w:r>
              <w:t xml:space="preserve"> </w:t>
            </w:r>
            <w:r w:rsidRPr="009344E7">
              <w:rPr>
                <w:b/>
              </w:rPr>
              <w:t xml:space="preserve">Dirección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DD" w:rsidRDefault="00D90BDD" w:rsidP="009344E7">
            <w:pPr>
              <w:spacing w:after="0" w:line="240" w:lineRule="auto"/>
              <w:ind w:left="38"/>
            </w:pPr>
            <w:r>
              <w:t xml:space="preserve">Asistida eléctricamente (EPS)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Frenos delanteros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38"/>
            </w:pPr>
            <w:r>
              <w:t xml:space="preserve">Discos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Frenos traseros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38"/>
            </w:pPr>
            <w:r>
              <w:t xml:space="preserve">Tambor hidráulico lazo doble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70"/>
            </w:pPr>
            <w:r w:rsidRPr="009344E7">
              <w:rPr>
                <w:b/>
              </w:rPr>
              <w:t xml:space="preserve">Suspensión delantera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</w:pPr>
            <w:r>
              <w:t xml:space="preserve">Independiente Mac Pherson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Suspensión trasera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38"/>
            </w:pPr>
            <w:r>
              <w:t xml:space="preserve">Muelles izq. y der.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Neumáticos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38"/>
            </w:pPr>
            <w:r>
              <w:t xml:space="preserve">175 / 70 R14 </w:t>
            </w:r>
          </w:p>
        </w:tc>
      </w:tr>
      <w:tr w:rsidR="00D90BDD" w:rsidTr="009344E7">
        <w:trPr>
          <w:trHeight w:val="112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139" w:line="240" w:lineRule="auto"/>
            </w:pPr>
            <w:r>
              <w:t xml:space="preserve"> </w:t>
            </w:r>
          </w:p>
          <w:p w:rsidR="00D90BDD" w:rsidRDefault="00D90BDD" w:rsidP="009344E7">
            <w:pPr>
              <w:spacing w:after="139" w:line="240" w:lineRule="auto"/>
            </w:pPr>
            <w:r w:rsidRPr="009344E7">
              <w:rPr>
                <w:u w:val="single" w:color="000000"/>
              </w:rPr>
              <w:t>Dimensiones y capacidad</w:t>
            </w:r>
            <w:r>
              <w:t xml:space="preserve"> </w:t>
            </w:r>
          </w:p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Largo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DD" w:rsidRDefault="00D90BDD" w:rsidP="009344E7">
            <w:pPr>
              <w:spacing w:after="0" w:line="240" w:lineRule="auto"/>
              <w:ind w:left="122"/>
            </w:pPr>
            <w:r w:rsidRPr="009344E7">
              <w:rPr>
                <w:b/>
              </w:rPr>
              <w:t xml:space="preserve">4.930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Ancho (mm)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1.720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Alto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1.995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Distancia entre ejes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3.050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Caja de carga largo (mm)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2.950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Caja de carga ancho (mm) 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1.670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Caja de carga alto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370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>Capacidad útil de carga (kg)</w:t>
            </w:r>
            <w:r>
              <w:t xml:space="preserve">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1.000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Peso bruto (kg)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2.230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Peso en vacío (kg)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1.100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Trocha delantera(mm)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1.425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Trocha trasera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1.435 </w:t>
            </w:r>
          </w:p>
        </w:tc>
      </w:tr>
      <w:tr w:rsidR="00D90BDD" w:rsidTr="009344E7">
        <w:trPr>
          <w:trHeight w:val="26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Mín. radio de giro (m)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6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Distancia al suelo (mm)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165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Capacidad del tanque de combustible (Lts)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40 </w:t>
            </w:r>
          </w:p>
        </w:tc>
      </w:tr>
      <w:tr w:rsidR="00D90BDD" w:rsidTr="009344E7">
        <w:trPr>
          <w:trHeight w:val="26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07"/>
            </w:pPr>
            <w:r w:rsidRPr="009344E7">
              <w:rPr>
                <w:b/>
              </w:rPr>
              <w:t xml:space="preserve">Nro. de pasajeros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90BDD" w:rsidRDefault="00D90BDD" w:rsidP="009344E7">
            <w:pPr>
              <w:spacing w:after="0" w:line="240" w:lineRule="auto"/>
              <w:ind w:left="122"/>
            </w:pPr>
            <w:r>
              <w:t xml:space="preserve">2 </w:t>
            </w:r>
          </w:p>
        </w:tc>
      </w:tr>
    </w:tbl>
    <w:p w:rsidR="00D90BDD" w:rsidRDefault="00D90BDD">
      <w:pPr>
        <w:spacing w:after="0"/>
      </w:pPr>
      <w:r>
        <w:t xml:space="preserve"> </w:t>
      </w:r>
    </w:p>
    <w:p w:rsidR="00D90BDD" w:rsidRDefault="00D90BDD">
      <w:pPr>
        <w:spacing w:after="139"/>
        <w:ind w:left="10" w:hanging="10"/>
      </w:pPr>
      <w:r>
        <w:rPr>
          <w:b/>
        </w:rPr>
        <w:t xml:space="preserve">Equipamiento </w:t>
      </w:r>
    </w:p>
    <w:p w:rsidR="00D90BDD" w:rsidRDefault="00D90BDD">
      <w:pPr>
        <w:pStyle w:val="Heading1"/>
        <w:ind w:left="-5"/>
      </w:pPr>
      <w:r>
        <w:t>Seguridad</w:t>
      </w:r>
      <w:r>
        <w:rPr>
          <w:u w:val="none"/>
        </w:rPr>
        <w:t xml:space="preserve">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Frenos ABS + EBD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EPS – Dirección asistida eléctricamente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Cinturón de seguridad y tensor delantero 3 puntos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Luz frontales de circulación diurna LED (DRL)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Faros antiniebla delanteros y traseros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Cierre automático de puertas en marcha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Carrocería de deformación programada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Barras de seguridad en puertas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Parabrisas delantero laminado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Bloqueo de columna de dirección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Columna dirección colapsable </w:t>
      </w:r>
    </w:p>
    <w:p w:rsidR="00D90BDD" w:rsidRDefault="00D90BDD">
      <w:pPr>
        <w:spacing w:after="0" w:line="384" w:lineRule="auto"/>
        <w:ind w:right="5459"/>
      </w:pPr>
      <w:r>
        <w:t xml:space="preserve">   </w:t>
      </w:r>
    </w:p>
    <w:p w:rsidR="00D90BDD" w:rsidRDefault="00D90BDD">
      <w:pPr>
        <w:pStyle w:val="Heading1"/>
        <w:ind w:left="-5"/>
      </w:pPr>
      <w:r>
        <w:t>Exterior</w:t>
      </w:r>
      <w:r>
        <w:rPr>
          <w:u w:val="none"/>
        </w:rPr>
        <w:t xml:space="preserve">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Laterales de la caja de carga rebatibles (tres lados)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Paragolpes delantero color carrocería con detalle en cromo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Paragolpes trasero color carrocería 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Parrilla delantera cromada 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Manijas de puertas color carrocería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Espejos retrovisores abatibles </w:t>
      </w:r>
    </w:p>
    <w:p w:rsidR="00D90BDD" w:rsidRDefault="00D90BDD">
      <w:pPr>
        <w:spacing w:after="53" w:line="336" w:lineRule="auto"/>
        <w:ind w:right="3921" w:firstLine="107"/>
      </w:pPr>
      <w:r>
        <w:rPr>
          <w:b/>
        </w:rPr>
        <w:t xml:space="preserve">Llantas de acero </w:t>
      </w:r>
      <w:r>
        <w:t xml:space="preserve">   </w:t>
      </w:r>
    </w:p>
    <w:p w:rsidR="00D90BDD" w:rsidRDefault="00D90BDD">
      <w:pPr>
        <w:pStyle w:val="Heading1"/>
        <w:ind w:left="-5"/>
      </w:pPr>
      <w:r>
        <w:t>Interior</w:t>
      </w:r>
      <w:r>
        <w:rPr>
          <w:u w:val="none"/>
        </w:rPr>
        <w:t xml:space="preserve">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Aire acondicionado y Calefacción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Cierre centralizado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Apertura a distancia </w:t>
      </w:r>
    </w:p>
    <w:p w:rsidR="00D90BDD" w:rsidRDefault="00D90BDD">
      <w:pPr>
        <w:shd w:val="clear" w:color="auto" w:fill="F2F2F2"/>
        <w:tabs>
          <w:tab w:val="center" w:pos="2939"/>
        </w:tabs>
        <w:spacing w:after="7" w:line="250" w:lineRule="auto"/>
        <w:ind w:left="92"/>
      </w:pPr>
      <w:r>
        <w:rPr>
          <w:b/>
        </w:rPr>
        <w:t xml:space="preserve">Levantavidrios eléctrico </w:t>
      </w:r>
      <w:r>
        <w:rPr>
          <w:b/>
        </w:rPr>
        <w:tab/>
        <w:t xml:space="preserve"> </w:t>
      </w:r>
    </w:p>
    <w:p w:rsidR="00D90BDD" w:rsidRDefault="00D90BDD">
      <w:pPr>
        <w:spacing w:after="3"/>
        <w:ind w:left="102" w:hanging="10"/>
      </w:pPr>
      <w:r>
        <w:rPr>
          <w:b/>
        </w:rPr>
        <w:t xml:space="preserve">Recordatorio de cinturón de conductor desabrochado 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Regulación de altura de faros  </w:t>
      </w:r>
    </w:p>
    <w:p w:rsidR="00D90BDD" w:rsidRDefault="00D90BDD">
      <w:pPr>
        <w:shd w:val="clear" w:color="auto" w:fill="F2F2F2"/>
        <w:spacing w:after="7" w:line="250" w:lineRule="auto"/>
        <w:ind w:left="102" w:right="98" w:hanging="10"/>
      </w:pPr>
      <w:r>
        <w:rPr>
          <w:b/>
        </w:rPr>
        <w:t xml:space="preserve">Regulación del ángulo de deslizamiento y respaldo </w:t>
      </w:r>
      <w:r>
        <w:rPr>
          <w:b/>
        </w:rPr>
        <w:tab/>
        <w:t xml:space="preserve"> Luz de cortesía conductor, acompañante. </w:t>
      </w:r>
    </w:p>
    <w:p w:rsidR="00D90BDD" w:rsidRDefault="00D90BDD">
      <w:pPr>
        <w:tabs>
          <w:tab w:val="center" w:pos="3647"/>
        </w:tabs>
        <w:spacing w:after="3"/>
      </w:pPr>
      <w:r>
        <w:rPr>
          <w:b/>
        </w:rPr>
        <w:t xml:space="preserve">Parasol conductor y acompañante </w:t>
      </w:r>
      <w:r>
        <w:rPr>
          <w:b/>
        </w:rPr>
        <w:tab/>
        <w:t xml:space="preserve"> </w:t>
      </w:r>
    </w:p>
    <w:p w:rsidR="00D90BDD" w:rsidRDefault="00D90BDD">
      <w:pPr>
        <w:shd w:val="clear" w:color="auto" w:fill="F2F2F2"/>
        <w:spacing w:after="7" w:line="250" w:lineRule="auto"/>
        <w:ind w:left="102" w:hanging="10"/>
      </w:pPr>
      <w:r>
        <w:rPr>
          <w:b/>
        </w:rPr>
        <w:t xml:space="preserve">Fuente de 12 V / encendedor  </w:t>
      </w:r>
    </w:p>
    <w:p w:rsidR="00D90BDD" w:rsidRDefault="00D90BDD">
      <w:pPr>
        <w:spacing w:after="3" w:line="348" w:lineRule="auto"/>
        <w:ind w:right="2412" w:firstLine="107"/>
      </w:pPr>
      <w:r>
        <w:rPr>
          <w:b/>
        </w:rPr>
        <w:t xml:space="preserve">Radio con MP3 y entrada de USB </w:t>
      </w:r>
      <w:r>
        <w:rPr>
          <w:b/>
        </w:rPr>
        <w:tab/>
        <w:t xml:space="preserve"> </w:t>
      </w:r>
      <w:r>
        <w:t xml:space="preserve">    </w:t>
      </w:r>
    </w:p>
    <w:p w:rsidR="00D90BDD" w:rsidRDefault="00D90BDD">
      <w:pPr>
        <w:spacing w:after="0" w:line="384" w:lineRule="auto"/>
        <w:ind w:right="5459"/>
        <w:jc w:val="both"/>
      </w:pPr>
      <w:r>
        <w:t xml:space="preserve">    </w:t>
      </w:r>
    </w:p>
    <w:sectPr w:rsidR="00D90BDD" w:rsidSect="00BB37AC"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64A"/>
    <w:rsid w:val="000E4AB1"/>
    <w:rsid w:val="00256E0A"/>
    <w:rsid w:val="009344E7"/>
    <w:rsid w:val="00BB37AC"/>
    <w:rsid w:val="00C3564A"/>
    <w:rsid w:val="00D90BDD"/>
    <w:rsid w:val="00D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0A"/>
    <w:pPr>
      <w:spacing w:after="160" w:line="259" w:lineRule="auto"/>
    </w:pPr>
    <w:rPr>
      <w:rFonts w:cs="Calibri"/>
      <w:color w:val="000000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E0A"/>
    <w:pPr>
      <w:keepNext/>
      <w:keepLines/>
      <w:spacing w:after="139"/>
      <w:ind w:left="10" w:hanging="10"/>
      <w:outlineLvl w:val="0"/>
    </w:pPr>
    <w:rPr>
      <w:rFonts w:cs="Times New Roman"/>
      <w:u w:val="single" w:color="00000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E0A"/>
    <w:rPr>
      <w:rFonts w:ascii="Calibri" w:eastAsia="Times New Roman" w:hAnsi="Calibri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256E0A"/>
    <w:rPr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367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Shineray T30 </dc:title>
  <dc:subject/>
  <dc:creator>Enrique Robert</dc:creator>
  <cp:keywords/>
  <dc:description/>
  <cp:lastModifiedBy>Administrador</cp:lastModifiedBy>
  <cp:revision>2</cp:revision>
  <dcterms:created xsi:type="dcterms:W3CDTF">2018-03-21T20:44:00Z</dcterms:created>
  <dcterms:modified xsi:type="dcterms:W3CDTF">2018-03-21T20:44:00Z</dcterms:modified>
</cp:coreProperties>
</file>